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KRITERIJI VREDNOVANJA UČENIČKIH RADOVA ZA VRIJEME ON LINE NASTAVE</w:t>
      </w:r>
    </w:p>
    <w:p>
      <w:pPr>
        <w:pStyle w:val="Normal"/>
        <w:rPr/>
      </w:pPr>
      <w:r>
        <w:rPr/>
        <w:t>U nastavi geografije kod učitelja Dinka Marina provodit će se i poštovati kriteriji vrednovanja koji su doneseni na početku školske 2019/2020. S obzirom na novonastalu situaciju neki oblici vrednovanja će se prilagoditi. Predmeti koji imaju tjedno zaduženje manje od tri sata provode pisano vrednovanja različitih tipova zadatak, dok se usmeno ispitivanje ne preporuča. U nastavi geografije će se provoditi esejski oblik vrednovanja, prema slijedećem kriteriju:</w:t>
      </w:r>
    </w:p>
    <w:tbl>
      <w:tblPr>
        <w:tblW w:w="7732" w:type="dxa"/>
        <w:jc w:val="left"/>
        <w:tblInd w:w="828" w:type="dxa"/>
        <w:tblCellMar>
          <w:top w:w="0" w:type="dxa"/>
          <w:left w:w="108" w:type="dxa"/>
          <w:bottom w:w="0" w:type="dxa"/>
          <w:right w:w="108" w:type="dxa"/>
        </w:tblCellMar>
        <w:tblLook w:firstRow="0" w:noVBand="0" w:lastRow="0" w:firstColumn="0" w:lastColumn="0" w:noHBand="0" w:val="0000"/>
      </w:tblPr>
      <w:tblGrid>
        <w:gridCol w:w="959"/>
        <w:gridCol w:w="1308"/>
        <w:gridCol w:w="1332"/>
        <w:gridCol w:w="1310"/>
        <w:gridCol w:w="1377"/>
        <w:gridCol w:w="1445"/>
      </w:tblGrid>
      <w:tr>
        <w:trPr>
          <w:trHeight w:val="420" w:hRule="atLeast"/>
        </w:trPr>
        <w:tc>
          <w:tcPr>
            <w:tcW w:w="959" w:type="dxa"/>
            <w:tcBorders/>
            <w:shd w:color="auto" w:fill="auto" w:val="clear"/>
            <w:vAlign w:val="bottom"/>
          </w:tcPr>
          <w:p>
            <w:pPr>
              <w:pStyle w:val="Normal"/>
              <w:spacing w:before="0" w:after="160"/>
              <w:ind w:left="-900" w:firstLine="900"/>
              <w:rPr>
                <w:rFonts w:ascii="Arial" w:hAnsi="Arial" w:cs="Arial"/>
                <w:sz w:val="20"/>
                <w:szCs w:val="20"/>
              </w:rPr>
            </w:pPr>
            <w:r>
              <w:rPr>
                <w:rFonts w:cs="Arial" w:ascii="Arial" w:hAnsi="Arial"/>
                <w:sz w:val="20"/>
                <w:szCs w:val="20"/>
              </w:rPr>
            </w:r>
          </w:p>
        </w:tc>
        <w:tc>
          <w:tcPr>
            <w:tcW w:w="6772" w:type="dxa"/>
            <w:gridSpan w:val="5"/>
            <w:tcBorders>
              <w:top w:val="single" w:sz="8" w:space="0" w:color="000000"/>
              <w:left w:val="single" w:sz="8" w:space="0" w:color="000000"/>
              <w:right w:val="single" w:sz="8" w:space="0" w:color="000000"/>
            </w:tcBorders>
            <w:shd w:color="auto" w:fill="CCFFCC" w:val="clear"/>
            <w:vAlign w:val="bottom"/>
          </w:tcPr>
          <w:p>
            <w:pPr>
              <w:pStyle w:val="Normal"/>
              <w:spacing w:before="0" w:after="160"/>
              <w:jc w:val="center"/>
              <w:rPr/>
            </w:pPr>
            <w:r>
              <w:rPr/>
              <w:t>Intervali postotka bodova za pojedine ocjene</w:t>
            </w:r>
          </w:p>
        </w:tc>
      </w:tr>
      <w:tr>
        <w:trPr>
          <w:trHeight w:val="390" w:hRule="atLeast"/>
        </w:trPr>
        <w:tc>
          <w:tcPr>
            <w:tcW w:w="959" w:type="dxa"/>
            <w:tcBorders>
              <w:top w:val="single" w:sz="8" w:space="0" w:color="000000"/>
              <w:left w:val="single" w:sz="8" w:space="0" w:color="000000"/>
              <w:bottom w:val="single" w:sz="4" w:space="0" w:color="000000"/>
              <w:right w:val="single" w:sz="4" w:space="0" w:color="000000"/>
            </w:tcBorders>
            <w:shd w:color="auto" w:fill="CCFFCC" w:val="clear"/>
            <w:vAlign w:val="bottom"/>
          </w:tcPr>
          <w:p>
            <w:pPr>
              <w:pStyle w:val="Normal"/>
              <w:widowControl/>
              <w:bidi w:val="0"/>
              <w:spacing w:lineRule="auto" w:line="259" w:before="0" w:after="160"/>
              <w:jc w:val="left"/>
              <w:rPr/>
            </w:pPr>
            <w:r>
              <w:rPr/>
              <w:t>ocjena</w:t>
            </w:r>
          </w:p>
        </w:tc>
        <w:tc>
          <w:tcPr>
            <w:tcW w:w="1308" w:type="dxa"/>
            <w:tcBorders>
              <w:top w:val="single" w:sz="8" w:space="0" w:color="000000"/>
              <w:bottom w:val="single" w:sz="4" w:space="0" w:color="000000"/>
              <w:right w:val="single" w:sz="4" w:space="0" w:color="000000"/>
            </w:tcBorders>
            <w:shd w:color="auto" w:fill="auto" w:val="clear"/>
            <w:vAlign w:val="bottom"/>
          </w:tcPr>
          <w:p>
            <w:pPr>
              <w:pStyle w:val="Normal"/>
              <w:spacing w:before="0" w:after="160"/>
              <w:jc w:val="center"/>
              <w:rPr/>
            </w:pPr>
            <w:r>
              <w:rPr/>
              <w:t>1</w:t>
            </w:r>
          </w:p>
        </w:tc>
        <w:tc>
          <w:tcPr>
            <w:tcW w:w="1332" w:type="dxa"/>
            <w:tcBorders>
              <w:top w:val="single" w:sz="8" w:space="0" w:color="000000"/>
              <w:bottom w:val="single" w:sz="4" w:space="0" w:color="000000"/>
              <w:right w:val="single" w:sz="4" w:space="0" w:color="000000"/>
            </w:tcBorders>
            <w:shd w:color="auto" w:fill="auto" w:val="clear"/>
            <w:vAlign w:val="bottom"/>
          </w:tcPr>
          <w:p>
            <w:pPr>
              <w:pStyle w:val="Normal"/>
              <w:spacing w:before="0" w:after="160"/>
              <w:jc w:val="center"/>
              <w:rPr/>
            </w:pPr>
            <w:r>
              <w:rPr/>
              <w:t>2</w:t>
            </w:r>
          </w:p>
        </w:tc>
        <w:tc>
          <w:tcPr>
            <w:tcW w:w="1310" w:type="dxa"/>
            <w:tcBorders>
              <w:top w:val="single" w:sz="8" w:space="0" w:color="000000"/>
              <w:bottom w:val="single" w:sz="4" w:space="0" w:color="000000"/>
              <w:right w:val="single" w:sz="4" w:space="0" w:color="000000"/>
            </w:tcBorders>
            <w:shd w:color="auto" w:fill="auto" w:val="clear"/>
            <w:vAlign w:val="bottom"/>
          </w:tcPr>
          <w:p>
            <w:pPr>
              <w:pStyle w:val="Normal"/>
              <w:spacing w:before="0" w:after="160"/>
              <w:jc w:val="center"/>
              <w:rPr/>
            </w:pPr>
            <w:r>
              <w:rPr/>
              <w:t>3</w:t>
            </w:r>
          </w:p>
        </w:tc>
        <w:tc>
          <w:tcPr>
            <w:tcW w:w="1377" w:type="dxa"/>
            <w:tcBorders>
              <w:top w:val="single" w:sz="8" w:space="0" w:color="000000"/>
              <w:bottom w:val="single" w:sz="4" w:space="0" w:color="000000"/>
              <w:right w:val="single" w:sz="4" w:space="0" w:color="000000"/>
            </w:tcBorders>
            <w:shd w:color="auto" w:fill="auto" w:val="clear"/>
            <w:vAlign w:val="bottom"/>
          </w:tcPr>
          <w:p>
            <w:pPr>
              <w:pStyle w:val="Normal"/>
              <w:spacing w:before="0" w:after="160"/>
              <w:jc w:val="center"/>
              <w:rPr/>
            </w:pPr>
            <w:r>
              <w:rPr/>
              <w:t>4</w:t>
            </w:r>
          </w:p>
        </w:tc>
        <w:tc>
          <w:tcPr>
            <w:tcW w:w="1445" w:type="dxa"/>
            <w:tcBorders>
              <w:top w:val="single" w:sz="8" w:space="0" w:color="000000"/>
              <w:bottom w:val="single" w:sz="4" w:space="0" w:color="000000"/>
              <w:right w:val="single" w:sz="8" w:space="0" w:color="000000"/>
            </w:tcBorders>
            <w:shd w:color="auto" w:fill="auto" w:val="clear"/>
            <w:vAlign w:val="bottom"/>
          </w:tcPr>
          <w:p>
            <w:pPr>
              <w:pStyle w:val="Normal"/>
              <w:spacing w:before="0" w:after="160"/>
              <w:jc w:val="center"/>
              <w:rPr/>
            </w:pPr>
            <w:r>
              <w:rPr/>
              <w:t>5</w:t>
            </w:r>
          </w:p>
        </w:tc>
      </w:tr>
      <w:tr>
        <w:trPr>
          <w:trHeight w:val="390" w:hRule="atLeast"/>
        </w:trPr>
        <w:tc>
          <w:tcPr>
            <w:tcW w:w="959" w:type="dxa"/>
            <w:tcBorders>
              <w:left w:val="single" w:sz="8" w:space="0" w:color="000000"/>
              <w:bottom w:val="single" w:sz="8" w:space="0" w:color="000000"/>
              <w:right w:val="single" w:sz="4" w:space="0" w:color="000000"/>
            </w:tcBorders>
            <w:shd w:color="auto" w:fill="CCFFCC" w:val="clear"/>
            <w:vAlign w:val="bottom"/>
          </w:tcPr>
          <w:p>
            <w:pPr>
              <w:pStyle w:val="Normal"/>
              <w:widowControl/>
              <w:bidi w:val="0"/>
              <w:spacing w:lineRule="auto" w:line="259" w:before="0" w:after="160"/>
              <w:jc w:val="left"/>
              <w:rPr/>
            </w:pPr>
            <w:r>
              <w:rPr/>
              <w:t>raspon</w:t>
            </w:r>
          </w:p>
        </w:tc>
        <w:tc>
          <w:tcPr>
            <w:tcW w:w="1308" w:type="dxa"/>
            <w:tcBorders>
              <w:bottom w:val="single" w:sz="8" w:space="0" w:color="000000"/>
              <w:right w:val="single" w:sz="4" w:space="0" w:color="000000"/>
            </w:tcBorders>
            <w:shd w:color="auto" w:fill="auto" w:val="clear"/>
            <w:vAlign w:val="bottom"/>
          </w:tcPr>
          <w:p>
            <w:pPr>
              <w:pStyle w:val="Normal"/>
              <w:spacing w:before="0" w:after="160"/>
              <w:jc w:val="center"/>
              <w:rPr/>
            </w:pPr>
            <w:r>
              <w:rPr/>
              <w:t>do 44 %</w:t>
            </w:r>
          </w:p>
        </w:tc>
        <w:tc>
          <w:tcPr>
            <w:tcW w:w="1332" w:type="dxa"/>
            <w:tcBorders>
              <w:bottom w:val="single" w:sz="8" w:space="0" w:color="000000"/>
              <w:right w:val="single" w:sz="4" w:space="0" w:color="000000"/>
            </w:tcBorders>
            <w:shd w:color="auto" w:fill="auto" w:val="clear"/>
            <w:vAlign w:val="bottom"/>
          </w:tcPr>
          <w:p>
            <w:pPr>
              <w:pStyle w:val="Normal"/>
              <w:spacing w:before="0" w:after="160"/>
              <w:jc w:val="center"/>
              <w:rPr/>
            </w:pPr>
            <w:r>
              <w:rPr/>
              <w:t>45 - 60 %</w:t>
            </w:r>
          </w:p>
        </w:tc>
        <w:tc>
          <w:tcPr>
            <w:tcW w:w="1310" w:type="dxa"/>
            <w:tcBorders>
              <w:bottom w:val="single" w:sz="8" w:space="0" w:color="000000"/>
              <w:right w:val="single" w:sz="4" w:space="0" w:color="000000"/>
            </w:tcBorders>
            <w:shd w:color="auto" w:fill="auto" w:val="clear"/>
            <w:vAlign w:val="bottom"/>
          </w:tcPr>
          <w:p>
            <w:pPr>
              <w:pStyle w:val="Normal"/>
              <w:spacing w:before="0" w:after="160"/>
              <w:jc w:val="center"/>
              <w:rPr/>
            </w:pPr>
            <w:r>
              <w:rPr/>
              <w:t>61 - 75%</w:t>
            </w:r>
          </w:p>
        </w:tc>
        <w:tc>
          <w:tcPr>
            <w:tcW w:w="1377" w:type="dxa"/>
            <w:tcBorders>
              <w:bottom w:val="single" w:sz="8" w:space="0" w:color="000000"/>
              <w:right w:val="single" w:sz="4" w:space="0" w:color="000000"/>
            </w:tcBorders>
            <w:shd w:color="auto" w:fill="auto" w:val="clear"/>
            <w:vAlign w:val="bottom"/>
          </w:tcPr>
          <w:p>
            <w:pPr>
              <w:pStyle w:val="Normal"/>
              <w:spacing w:before="0" w:after="160"/>
              <w:jc w:val="center"/>
              <w:rPr/>
            </w:pPr>
            <w:r>
              <w:rPr/>
              <w:t>76 - 89 %</w:t>
            </w:r>
          </w:p>
        </w:tc>
        <w:tc>
          <w:tcPr>
            <w:tcW w:w="1445" w:type="dxa"/>
            <w:tcBorders>
              <w:bottom w:val="single" w:sz="8" w:space="0" w:color="000000"/>
              <w:right w:val="single" w:sz="8" w:space="0" w:color="000000"/>
            </w:tcBorders>
            <w:shd w:color="auto" w:fill="auto" w:val="clear"/>
            <w:vAlign w:val="bottom"/>
          </w:tcPr>
          <w:p>
            <w:pPr>
              <w:pStyle w:val="Normal"/>
              <w:spacing w:before="0" w:after="160"/>
              <w:jc w:val="center"/>
              <w:rPr/>
            </w:pPr>
            <w:r>
              <w:rPr/>
              <w:t>90 - 100%</w:t>
            </w:r>
          </w:p>
        </w:tc>
      </w:tr>
    </w:tbl>
    <w:p>
      <w:pPr>
        <w:pStyle w:val="Normal"/>
        <w:rPr/>
      </w:pPr>
      <w:r>
        <w:rPr/>
        <w:t>Esjeski zadatci će biti formulirani na principu objasni, usporedi , analiziraj, te će biti bodovno vrednovani, a potom i ocjenski.</w:t>
      </w:r>
    </w:p>
    <w:p>
      <w:pPr>
        <w:pStyle w:val="Normal"/>
        <w:rPr/>
      </w:pPr>
      <w:r>
        <w:rPr/>
        <w:t>Primjer zadatak:</w:t>
      </w:r>
    </w:p>
    <w:p>
      <w:pPr>
        <w:pStyle w:val="Normal"/>
        <w:rPr/>
      </w:pPr>
      <w:r>
        <w:rPr/>
        <w:t>Zadatci su opisnog tipa, dakle trebaš opisati, definirati, objasniti ono što se traži od tebe. Kao mala pomoć u zagradi su napisani neki od pojmova za koje se očekuje da budu u rješenju zadatak. Iznimno je bitno da budeš precizan i točan.</w:t>
      </w:r>
    </w:p>
    <w:p>
      <w:pPr>
        <w:pStyle w:val="Normal"/>
        <w:rPr/>
      </w:pPr>
      <w:r>
        <w:rPr/>
      </w:r>
    </w:p>
    <w:p>
      <w:pPr>
        <w:pStyle w:val="ListParagraph"/>
        <w:numPr>
          <w:ilvl w:val="0"/>
          <w:numId w:val="1"/>
        </w:numPr>
        <w:rPr/>
      </w:pPr>
      <w:r>
        <w:rPr/>
        <w:t xml:space="preserve">Objasni klimatska obilježja Japana. (pojmovi koji bi trebali biti u tekstu </w:t>
      </w:r>
      <w:r>
        <w:rPr>
          <w:b/>
          <w:i/>
          <w:u w:val="single"/>
        </w:rPr>
        <w:t>objašnjeni, definirani</w:t>
      </w:r>
      <w:r>
        <w:rPr>
          <w:u w:val="single"/>
        </w:rPr>
        <w:t>,</w:t>
      </w:r>
      <w:r>
        <w:rPr/>
        <w:t xml:space="preserve"> a oni koji mogu i </w:t>
      </w:r>
      <w:r>
        <w:rPr>
          <w:b/>
          <w:i/>
          <w:u w:val="single"/>
        </w:rPr>
        <w:t>prostorno određeni</w:t>
      </w:r>
      <w:r>
        <w:rPr/>
        <w:t>; tipovi klima, tropski cikloni, tornada, čimbenici koji utječu na klimu Japana, klima vegetacijske zajednice  u Japanu, monsuni)</w:t>
      </w:r>
    </w:p>
    <w:p>
      <w:pPr>
        <w:pStyle w:val="ListParagraph"/>
        <w:rPr/>
      </w:pPr>
      <w:r>
        <w:rPr/>
      </w:r>
    </w:p>
    <w:p>
      <w:pPr>
        <w:pStyle w:val="ListParagraph"/>
        <w:rPr/>
      </w:pPr>
      <w:r>
        <w:rPr/>
        <w:t xml:space="preserve">Bodovanje primjer: </w:t>
      </w:r>
    </w:p>
    <w:tbl>
      <w:tblPr>
        <w:tblW w:w="6112" w:type="dxa"/>
        <w:jc w:val="left"/>
        <w:tblInd w:w="2046" w:type="dxa"/>
        <w:tblCellMar>
          <w:top w:w="0" w:type="dxa"/>
          <w:left w:w="108" w:type="dxa"/>
          <w:bottom w:w="0" w:type="dxa"/>
          <w:right w:w="108" w:type="dxa"/>
        </w:tblCellMar>
        <w:tblLook w:firstRow="1" w:noVBand="1" w:lastRow="0" w:firstColumn="1" w:lastColumn="0" w:noHBand="0" w:val="04a0"/>
      </w:tblPr>
      <w:tblGrid>
        <w:gridCol w:w="2259"/>
        <w:gridCol w:w="987"/>
        <w:gridCol w:w="1084"/>
        <w:gridCol w:w="1781"/>
      </w:tblGrid>
      <w:tr>
        <w:trPr>
          <w:trHeight w:val="288" w:hRule="atLeast"/>
        </w:trPr>
        <w:tc>
          <w:tcPr>
            <w:tcW w:w="2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hr-HR"/>
              </w:rPr>
            </w:pPr>
            <w:r>
              <w:rPr>
                <w:rFonts w:eastAsia="Times New Roman" w:cs="Calibri"/>
                <w:color w:val="000000"/>
                <w:lang w:eastAsia="hr-HR"/>
              </w:rPr>
              <w:t>Pojam</w:t>
            </w:r>
          </w:p>
        </w:tc>
        <w:tc>
          <w:tcPr>
            <w:tcW w:w="9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hr-HR"/>
              </w:rPr>
            </w:pPr>
            <w:r>
              <w:rPr>
                <w:rFonts w:eastAsia="Times New Roman" w:cs="Calibri"/>
                <w:color w:val="000000"/>
                <w:lang w:eastAsia="hr-HR"/>
              </w:rPr>
              <w:t>naveden</w:t>
            </w:r>
          </w:p>
        </w:tc>
        <w:tc>
          <w:tcPr>
            <w:tcW w:w="10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hr-HR"/>
              </w:rPr>
            </w:pPr>
            <w:r>
              <w:rPr>
                <w:rFonts w:eastAsia="Times New Roman" w:cs="Calibri"/>
                <w:color w:val="000000"/>
                <w:lang w:eastAsia="hr-HR"/>
              </w:rPr>
              <w:t>objašnjen</w:t>
            </w:r>
          </w:p>
        </w:tc>
        <w:tc>
          <w:tcPr>
            <w:tcW w:w="178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hr-HR"/>
              </w:rPr>
            </w:pPr>
            <w:r>
              <w:rPr>
                <w:rFonts w:eastAsia="Times New Roman" w:cs="Calibri"/>
                <w:color w:val="000000"/>
                <w:lang w:eastAsia="hr-HR"/>
              </w:rPr>
              <w:t>prostorno određen</w:t>
            </w:r>
          </w:p>
        </w:tc>
      </w:tr>
      <w:tr>
        <w:trPr>
          <w:trHeight w:val="288" w:hRule="atLeast"/>
        </w:trPr>
        <w:tc>
          <w:tcPr>
            <w:tcW w:w="2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hr-HR"/>
              </w:rPr>
            </w:pPr>
            <w:r>
              <w:rPr>
                <w:rFonts w:eastAsia="Times New Roman" w:cs="Calibri"/>
                <w:color w:val="000000"/>
                <w:lang w:eastAsia="hr-HR"/>
              </w:rPr>
              <w:t>snježno-šumska klima</w:t>
            </w:r>
          </w:p>
        </w:tc>
        <w:tc>
          <w:tcPr>
            <w:tcW w:w="9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1</w:t>
            </w:r>
          </w:p>
        </w:tc>
        <w:tc>
          <w:tcPr>
            <w:tcW w:w="10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2</w:t>
            </w:r>
          </w:p>
        </w:tc>
        <w:tc>
          <w:tcPr>
            <w:tcW w:w="178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3</w:t>
            </w:r>
          </w:p>
        </w:tc>
      </w:tr>
      <w:tr>
        <w:trPr>
          <w:trHeight w:val="288" w:hRule="atLeast"/>
        </w:trPr>
        <w:tc>
          <w:tcPr>
            <w:tcW w:w="2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hr-HR"/>
              </w:rPr>
            </w:pPr>
            <w:r>
              <w:rPr>
                <w:rFonts w:eastAsia="Times New Roman" w:cs="Calibri"/>
                <w:color w:val="000000"/>
                <w:lang w:eastAsia="hr-HR"/>
              </w:rPr>
              <w:t>umjereno toplo vlažna</w:t>
            </w:r>
          </w:p>
        </w:tc>
        <w:tc>
          <w:tcPr>
            <w:tcW w:w="9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1</w:t>
            </w:r>
          </w:p>
        </w:tc>
        <w:tc>
          <w:tcPr>
            <w:tcW w:w="10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2</w:t>
            </w:r>
          </w:p>
        </w:tc>
        <w:tc>
          <w:tcPr>
            <w:tcW w:w="178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3</w:t>
            </w:r>
          </w:p>
        </w:tc>
      </w:tr>
      <w:tr>
        <w:trPr>
          <w:trHeight w:val="288" w:hRule="atLeast"/>
        </w:trPr>
        <w:tc>
          <w:tcPr>
            <w:tcW w:w="2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hr-HR"/>
              </w:rPr>
            </w:pPr>
            <w:r>
              <w:rPr>
                <w:rFonts w:eastAsia="Times New Roman" w:cs="Calibri"/>
                <w:color w:val="000000"/>
                <w:lang w:eastAsia="hr-HR"/>
              </w:rPr>
              <w:t>tajfun</w:t>
            </w:r>
          </w:p>
        </w:tc>
        <w:tc>
          <w:tcPr>
            <w:tcW w:w="9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1</w:t>
            </w:r>
          </w:p>
        </w:tc>
        <w:tc>
          <w:tcPr>
            <w:tcW w:w="10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2</w:t>
            </w:r>
          </w:p>
        </w:tc>
        <w:tc>
          <w:tcPr>
            <w:tcW w:w="178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3</w:t>
            </w:r>
          </w:p>
        </w:tc>
      </w:tr>
      <w:tr>
        <w:trPr>
          <w:trHeight w:val="288" w:hRule="atLeast"/>
        </w:trPr>
        <w:tc>
          <w:tcPr>
            <w:tcW w:w="2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hr-HR"/>
              </w:rPr>
            </w:pPr>
            <w:r>
              <w:rPr>
                <w:rFonts w:eastAsia="Times New Roman" w:cs="Calibri"/>
                <w:color w:val="000000"/>
                <w:lang w:eastAsia="hr-HR"/>
              </w:rPr>
              <w:t>Vegetacijske zajednice za svaki tip klime po bod i objašnjenje po bod</w:t>
            </w:r>
          </w:p>
        </w:tc>
        <w:tc>
          <w:tcPr>
            <w:tcW w:w="9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1</w:t>
            </w:r>
          </w:p>
        </w:tc>
        <w:tc>
          <w:tcPr>
            <w:tcW w:w="10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2</w:t>
            </w:r>
          </w:p>
        </w:tc>
        <w:tc>
          <w:tcPr>
            <w:tcW w:w="178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3</w:t>
            </w:r>
          </w:p>
        </w:tc>
      </w:tr>
      <w:tr>
        <w:trPr>
          <w:trHeight w:val="288" w:hRule="atLeast"/>
        </w:trPr>
        <w:tc>
          <w:tcPr>
            <w:tcW w:w="2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Calibri" w:hAnsi="Calibri" w:eastAsia="Times New Roman" w:cs="Calibri"/>
                <w:color w:val="000000"/>
                <w:lang w:eastAsia="hr-HR"/>
              </w:rPr>
            </w:pPr>
            <w:r>
              <w:rPr>
                <w:rFonts w:eastAsia="Times New Roman" w:cs="Calibri"/>
                <w:color w:val="000000"/>
                <w:lang w:eastAsia="hr-HR"/>
              </w:rPr>
              <w:t>Morske struje (Oja šio, Kuro šio, svaka se boduje)</w:t>
            </w:r>
          </w:p>
        </w:tc>
        <w:tc>
          <w:tcPr>
            <w:tcW w:w="9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1</w:t>
            </w:r>
          </w:p>
        </w:tc>
        <w:tc>
          <w:tcPr>
            <w:tcW w:w="10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2</w:t>
            </w:r>
          </w:p>
        </w:tc>
        <w:tc>
          <w:tcPr>
            <w:tcW w:w="178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3</w:t>
            </w:r>
          </w:p>
        </w:tc>
      </w:tr>
      <w:tr>
        <w:trPr>
          <w:trHeight w:val="288" w:hRule="atLeast"/>
        </w:trPr>
        <w:tc>
          <w:tcPr>
            <w:tcW w:w="22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rFonts w:ascii="Calibri" w:hAnsi="Calibri" w:cs="Calibri"/>
                <w:color w:val="000000"/>
              </w:rPr>
            </w:pPr>
            <w:r>
              <w:rPr>
                <w:rFonts w:cs="Calibri"/>
                <w:color w:val="000000"/>
              </w:rPr>
              <w:t>Ostali klimatski čimbenici osim morskih struja (svaki se vrednuje)</w:t>
            </w:r>
          </w:p>
          <w:p>
            <w:pPr>
              <w:pStyle w:val="Normal"/>
              <w:spacing w:lineRule="auto" w:line="240" w:before="0" w:after="0"/>
              <w:rPr>
                <w:rFonts w:ascii="Calibri" w:hAnsi="Calibri" w:eastAsia="Times New Roman" w:cs="Calibri"/>
                <w:color w:val="000000"/>
                <w:lang w:eastAsia="hr-HR"/>
              </w:rPr>
            </w:pPr>
            <w:r>
              <w:rPr>
                <w:rFonts w:eastAsia="Times New Roman" w:cs="Calibri"/>
                <w:color w:val="000000"/>
                <w:lang w:eastAsia="hr-HR"/>
              </w:rPr>
            </w:r>
          </w:p>
        </w:tc>
        <w:tc>
          <w:tcPr>
            <w:tcW w:w="9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t>1</w:t>
            </w:r>
          </w:p>
        </w:tc>
        <w:tc>
          <w:tcPr>
            <w:tcW w:w="10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Calibri" w:hAnsi="Calibri" w:eastAsia="Times New Roman" w:cs="Calibri"/>
                <w:color w:val="000000"/>
                <w:lang w:eastAsia="hr-HR"/>
              </w:rPr>
            </w:pPr>
            <w:r>
              <w:rPr>
                <w:rFonts w:eastAsia="Times New Roman" w:cs="Calibri"/>
                <w:color w:val="000000"/>
                <w:lang w:eastAsia="hr-HR"/>
              </w:rPr>
            </w:r>
          </w:p>
        </w:tc>
        <w:tc>
          <w:tcPr>
            <w:tcW w:w="178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hr-HR"/>
              </w:rPr>
            </w:pPr>
            <w:r>
              <w:rPr>
                <w:rFonts w:eastAsia="Times New Roman" w:cs="Times New Roman" w:ascii="Times New Roman" w:hAnsi="Times New Roman"/>
                <w:sz w:val="20"/>
                <w:szCs w:val="20"/>
                <w:lang w:eastAsia="hr-HR"/>
              </w:rPr>
            </w:r>
          </w:p>
        </w:tc>
      </w:tr>
    </w:tbl>
    <w:p>
      <w:pPr>
        <w:pStyle w:val="ListParagraph"/>
        <w:rPr/>
      </w:pPr>
      <w:r>
        <w:rPr/>
      </w:r>
    </w:p>
    <w:p>
      <w:pPr>
        <w:pStyle w:val="Normal"/>
        <w:rPr/>
      </w:pPr>
      <w:r>
        <w:rPr/>
      </w:r>
    </w:p>
    <w:p>
      <w:pPr>
        <w:pStyle w:val="Normal"/>
        <w:rPr/>
      </w:pPr>
      <w:r>
        <w:rPr/>
        <w:t xml:space="preserve">Kriteriji kao i primjer vrednovanja predmetni učitelj je objavio u on line učionicama putem snimljenog videa. </w:t>
      </w:r>
    </w:p>
    <w:p>
      <w:pPr>
        <w:pStyle w:val="Normal"/>
        <w:widowControl/>
        <w:bidi w:val="0"/>
        <w:spacing w:lineRule="auto" w:line="259" w:before="0" w:after="160"/>
        <w:jc w:val="left"/>
        <w:rPr/>
      </w:pPr>
      <w:r>
        <w:rPr/>
        <w:t>Dinko Marin, uč. savjetnik</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ce7cda"/>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LibreOffice/6.2.8.2$Windows_X86_64 LibreOffice_project/f82ddfca21ebc1e222a662a32b25c0c9d20169ee</Application>
  <Pages>2</Pages>
  <Words>285</Words>
  <Characters>1481</Characters>
  <CharactersWithSpaces>1720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2020-04-08T09:48:00Z</dcterms:created>
  <dc:creator>Korisnik</dc:creator>
  <dc:description/>
  <dc:language>hr-HR</dc:language>
  <cp:lastModifiedBy>Korisnik</cp:lastModifiedBy>
  <dcterms:modified xsi:type="dcterms:W3CDTF">2020-04-08T10:02:00Z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